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95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1306"/>
        <w:gridCol w:w="3380"/>
        <w:gridCol w:w="2293"/>
        <w:gridCol w:w="3515"/>
      </w:tblGrid>
      <w:tr>
        <w:trPr>
          <w:trHeight w:val="435" w:hRule="atLeast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>Заказчик: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</w:rPr>
            </w:pPr>
            <w:r>
              <w:rPr/>
              <w:t>ООО «Самарские коммунальные системы»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>Группа материалов: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241" w:hRule="atLeast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/>
              <w:t>№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МТР в ЕНС РКС: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cs="Arial"/>
                <w:color w:val="000000"/>
                <w:sz w:val="24"/>
                <w:szCs w:val="24"/>
              </w:rPr>
              <w:t>С</w:t>
            </w:r>
            <w:r>
              <w:rPr>
                <w:rFonts w:cs="Arial"/>
                <w:color w:val="000000"/>
                <w:sz w:val="24"/>
                <w:szCs w:val="24"/>
              </w:rPr>
              <w:t>Я00032119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Наименование МТР: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Тахометр Testo 460</w:t>
      </w:r>
    </w:p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</w:pPr>
      <w:r>
        <w:rPr/>
      </w:r>
    </w:p>
    <w:tbl>
      <w:tblPr>
        <w:tblW w:w="10595" w:type="dxa"/>
        <w:jc w:val="left"/>
        <w:tblInd w:w="-19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1132"/>
        <w:gridCol w:w="3660"/>
        <w:gridCol w:w="1958"/>
        <w:gridCol w:w="3844"/>
      </w:tblGrid>
      <w:tr>
        <w:trPr>
          <w:trHeight w:val="642" w:hRule="atLeast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п/п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Наименование параметра (характеристики)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Размерность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Требования заказчика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94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1.1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Назначение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3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1"/>
                <w:szCs w:val="21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cs="Tahoma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п</w:t>
            </w:r>
            <w:r>
              <w:rPr>
                <w:rFonts w:cs="Tahoma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 xml:space="preserve">рибор </w:t>
            </w:r>
            <w:r>
              <w:rPr>
                <w:rFonts w:cs="Tahoma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п</w:t>
            </w:r>
            <w:r>
              <w:rPr>
                <w:rFonts w:cs="Tahoma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 xml:space="preserve">редназначается для бесконтактного измерения скорости вращения, напр. работы вентиляторов и валов. 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1.2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 xml:space="preserve">Диапазон измерения 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Об/мин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  <w:lang w:bidi="hi-IN"/>
              </w:rPr>
              <w:t xml:space="preserve">100…...29999 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1.3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Погрешность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Об/мин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±(0,02 % от изм. знач.)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 xml:space="preserve"> 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1.4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Разрешение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Об/мин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widowControl/>
              <w:pBdr/>
              <w:spacing w:lineRule="atLeast" w:line="27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0,1 об/мин. (100 ... 999,9 об/мин.)</w:t>
            </w:r>
          </w:p>
          <w:p>
            <w:pPr>
              <w:pStyle w:val="Style21"/>
              <w:widowControl/>
              <w:pBdr/>
              <w:spacing w:lineRule="atLeast" w:line="27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1 об/мин. (1000 ... 29999 об/мин.)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1.5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Выборочные модули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об/мин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об/с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Комплектация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1"/>
                <w:szCs w:val="21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1"/>
                <w:szCs w:val="21"/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</w:r>
          </w:p>
        </w:tc>
      </w:tr>
      <w:tr>
        <w:trPr>
          <w:trHeight w:val="706" w:hRule="atLeast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1.6.1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widowControl/>
              <w:spacing w:lineRule="auto" w:line="240" w:before="0" w:after="15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lang w:bidi="hi-IN"/>
              </w:rPr>
              <w:t>Тахометр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наличие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1.6.2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Чехол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наличие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1.6.3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 xml:space="preserve">Батарея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ААА 2 шт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наличие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1.6.4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Отражатели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наличие</w:t>
            </w:r>
          </w:p>
        </w:tc>
      </w:tr>
      <w:tr>
        <w:trPr/>
        <w:tc>
          <w:tcPr>
            <w:tcW w:w="1132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1.6.5</w:t>
            </w:r>
          </w:p>
        </w:tc>
        <w:tc>
          <w:tcPr>
            <w:tcW w:w="366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Крышка защитная</w:t>
            </w:r>
          </w:p>
        </w:tc>
        <w:tc>
          <w:tcPr>
            <w:tcW w:w="1958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38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Style21"/>
              <w:widowControl/>
              <w:spacing w:before="0" w:after="1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наличие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Руководство по эксплуатации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1"/>
                <w:szCs w:val="21"/>
                <w:lang w:bidi="hi-IN"/>
              </w:rPr>
              <w:t>Наличие (на русском языке)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  <w:t>свидетельство о первичной поверке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  <w:t>наличие</w:t>
            </w:r>
          </w:p>
        </w:tc>
      </w:tr>
      <w:tr>
        <w:trPr/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1.6.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  <w:t>свидетельство об утверждении типа средства измерений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  <w:t>шт</w:t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lang w:bidi="hi-I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bidi="hi-IN"/>
              </w:rPr>
              <w:t>наличие</w:t>
            </w:r>
          </w:p>
        </w:tc>
      </w:tr>
      <w:tr>
        <w:trPr>
          <w:trHeight w:val="300" w:hRule="atLeast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94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2.1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Подтверждение требований опросного листа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3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605" w:type="dxa"/>
        <w:jc w:val="left"/>
        <w:tblInd w:w="-191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224"/>
        <w:gridCol w:w="7380"/>
      </w:tblGrid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Ответственного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Исаева Л.В.</w:t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отд. НФС-2, ИЦКВ</w:t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Телефон/Факс: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207-24-23</w:t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адрес: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lisaeva@samcomsys.ru</w:t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подразделения: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Нездойминога О.И.</w:t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технического департамента: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6" w:footer="0" w:bottom="3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49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Style20"/>
    <w:qFormat/>
    <w:pPr>
      <w:widowControl w:val="false"/>
      <w:numPr>
        <w:ilvl w:val="0"/>
        <w:numId w:val="1"/>
      </w:numPr>
      <w:bidi w:val="0"/>
      <w:spacing w:before="240" w:after="120"/>
      <w:jc w:val="left"/>
      <w:outlineLvl w:val="0"/>
      <w:outlineLvl w:val="0"/>
    </w:pPr>
    <w:rPr>
      <w:rFonts w:ascii="Liberation Serif" w:hAnsi="Liberation Serif" w:eastAsia="SimSun;宋体" w:cs="Mangal"/>
      <w:b/>
      <w:bCs/>
      <w:color w:val="00000A"/>
      <w:sz w:val="48"/>
      <w:szCs w:val="48"/>
      <w:lang w:val="ru-RU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Основной текст Знак"/>
    <w:basedOn w:val="Style13"/>
    <w:qFormat/>
    <w:rPr>
      <w:sz w:val="24"/>
      <w:szCs w:val="24"/>
      <w:lang w:eastAsia="zh-CN"/>
    </w:rPr>
  </w:style>
  <w:style w:type="character" w:styleId="WW">
    <w:name w:val="WW-Выделение жирным"/>
    <w:qFormat/>
    <w:rPr>
      <w:b/>
      <w:bCs/>
    </w:rPr>
  </w:style>
  <w:style w:type="character" w:styleId="Style19">
    <w:name w:val="Маркеры списка"/>
    <w:qFormat/>
    <w:rPr>
      <w:rFonts w:ascii="OpenSymbol" w:hAnsi="OpenSymbol" w:eastAsia="OpenSymbol" w:cs="OpenSymbol"/>
    </w:rPr>
  </w:style>
  <w:style w:type="paragraph" w:styleId="Style20">
    <w:name w:val="Заголовок"/>
    <w:basedOn w:val="Normal"/>
    <w:next w:val="Style2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Обычный (веб)"/>
    <w:basedOn w:val="Normal"/>
    <w:qFormat/>
    <w:pPr>
      <w:spacing w:before="280" w:after="280"/>
    </w:pPr>
    <w:rPr/>
  </w:style>
  <w:style w:type="paragraph" w:styleId="Style27">
    <w:name w:val="Footer"/>
    <w:basedOn w:val="Normal"/>
    <w:pPr/>
    <w:rPr/>
  </w:style>
  <w:style w:type="paragraph" w:styleId="Style28">
    <w:name w:val="Header"/>
    <w:basedOn w:val="Normal"/>
    <w:pPr/>
    <w:rPr/>
  </w:style>
  <w:style w:type="paragraph" w:styleId="Style2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LibreOffice/5.3.2.2$Windows_X86_64 LibreOffice_project/6cd4f1ef626f15116896b1d8e1398b56da0d0ee1</Application>
  <Pages>1</Pages>
  <Words>177</Words>
  <Characters>1207</Characters>
  <CharactersWithSpaces>1302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2023-09-12T13:57:00Z</dcterms:created>
  <dc:creator>Краснов Александр Анатольевич</dc:creator>
  <dc:description/>
  <dc:language>ru-RU</dc:language>
  <cp:lastModifiedBy/>
  <cp:lastPrinted>2023-09-13T11:50:37Z</cp:lastPrinted>
  <dcterms:modified xsi:type="dcterms:W3CDTF">2023-09-13T11:50:25Z</dcterms:modified>
  <cp:revision>13</cp:revision>
  <dc:subject/>
  <dc:title>ОПРОСНЫЙ ЛИСТ №______</dc:title>
</cp:coreProperties>
</file>